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240"/>
      </w:pPr>
      <w:r>
        <w:rPr>
          <w:b/>
          <w:sz w:val="44"/>
        </w:rPr>
        <w:t>Q3 Office Move Plan</w:t>
      </w:r>
    </w:p>
    <w:p>
      <w:pPr>
        <w:keepNext/>
        <w:keepLines/>
        <w:spacing w:before="200" w:after="100"/>
      </w:pPr>
      <w:r>
        <w:rPr>
          <w:b/>
          <w:sz w:val="28"/>
        </w:rPr>
        <w:t>Summary</w:t>
      </w:r>
    </w:p>
    <w:p>
      <w:pPr/>
      <w:r>
        <w:t>Move the practice Seattle team to the fourth floor. The draft must explain why the move is proposed, what it costs and who owns each decision.</w:t>
      </w:r>
    </w:p>
    <w:p>
      <w:pPr>
        <w:keepNext/>
        <w:keepLines/>
        <w:spacing w:before="200" w:after="100"/>
      </w:pPr>
      <w:r>
        <w:rPr>
          <w:b/>
          <w:sz w:val="28"/>
        </w:rPr>
        <w:t>Timeline</w:t>
      </w:r>
    </w:p>
    <w:p>
      <w:pPr>
        <w:keepNext/>
        <w:keepLines/>
        <w:spacing w:before="200" w:after="100"/>
      </w:pPr>
      <w:r>
        <w:rPr>
          <w:b/>
          <w:sz w:val="24"/>
        </w:rPr>
        <w:t>Week 1 – Packing</w:t>
      </w:r>
    </w:p>
    <w:p>
      <w:pPr/>
      <w:r>
        <w:t>Label equipment, confirm inventory and back up local work.</w:t>
      </w:r>
    </w:p>
    <w:p>
      <w:pPr>
        <w:keepNext/>
        <w:keepLines/>
        <w:spacing w:before="200" w:after="100"/>
      </w:pPr>
      <w:r>
        <w:rPr>
          <w:b/>
          <w:sz w:val="24"/>
        </w:rPr>
        <w:t>Week 2 – Move day</w:t>
      </w:r>
    </w:p>
    <w:p>
      <w:pPr/>
      <w:r>
        <w:t>Move the team in two groups and check network access.</w:t>
      </w:r>
    </w:p>
    <w:p>
      <w:pPr>
        <w:keepNext/>
        <w:keepLines/>
        <w:spacing w:before="200" w:after="100"/>
      </w:pPr>
      <w:r>
        <w:rPr>
          <w:b/>
          <w:sz w:val="24"/>
        </w:rPr>
        <w:t>Week 3 – Setup</w:t>
      </w:r>
    </w:p>
    <w:p>
      <w:pPr/>
      <w:r>
        <w:t>Resolve missing items, review accessibility and collect feedback.</w:t>
      </w:r>
    </w:p>
    <w:p>
      <w:pPr>
        <w:keepNext/>
        <w:keepLines/>
        <w:spacing w:before="200" w:after="100"/>
      </w:pPr>
      <w:r>
        <w:rPr>
          <w:b/>
          <w:sz w:val="28"/>
        </w:rPr>
        <w:t>Responsibilities</w:t>
      </w:r>
    </w:p>
    <w:p>
      <w:pPr/>
      <w:r>
        <w:t>Dana coordinates the practice plan. Marcus checks vendor options. Priya reviews the onboarding guide. These are invented roles for the lesson.</w:t>
      </w:r>
    </w:p>
    <w:p>
      <w:pPr>
        <w:keepNext/>
        <w:keepLines/>
        <w:pageBreakBefore/>
        <w:spacing w:before="200" w:after="100"/>
      </w:pPr>
      <w:r>
        <w:rPr>
          <w:b/>
          <w:sz w:val="28"/>
        </w:rPr>
        <w:t>Budget</w:t>
      </w:r>
    </w:p>
    <w:p>
      <w:pPr/>
      <w:r>
        <w:t>Compare monthly printer leases:</w:t>
      </w:r>
    </w:p>
    <w:p>
      <w:pPr>
        <w:spacing w:after="60"/>
        <w:ind w:left="230"/>
      </w:pPr>
      <w:r>
        <w:t>Northline Print: £145; setup 3 days.</w:t>
      </w:r>
    </w:p>
    <w:p>
      <w:pPr>
        <w:spacing w:after="60"/>
        <w:ind w:left="230"/>
      </w:pPr>
      <w:r>
        <w:t>ClearCopy: £129; setup 5 days.</w:t>
      </w:r>
    </w:p>
    <w:p>
      <w:pPr>
        <w:spacing w:after="60"/>
        <w:ind w:left="230"/>
      </w:pPr>
      <w:r>
        <w:t>Brightway Imaging: £160; setup 2 days.</w:t>
      </w:r>
    </w:p>
    <w:p>
      <w:pPr>
        <w:spacing w:after="60"/>
        <w:ind w:left="230"/>
      </w:pPr>
      <w:r>
        <w:t>PaperTrail Ltd: £138; setup 4 days.</w:t>
      </w:r>
    </w:p>
    <w:p>
      <w:pPr>
        <w:spacing w:after="60"/>
        <w:ind w:left="230"/>
      </w:pPr>
      <w:r>
        <w:t>Exercise addition: Kestrel Office Supply: £152; setup 1 day.</w:t>
      </w:r>
    </w:p>
    <w:p>
      <w:pPr/>
      <w:r>
        <w:t>Keep GBP costs separate from any USD examples; no currency conversion is supplied.</w:t>
      </w:r>
    </w:p>
    <w:p>
      <w:pPr>
        <w:keepNext/>
        <w:keepLines/>
        <w:spacing w:before="200" w:after="100"/>
      </w:pPr>
      <w:r>
        <w:rPr>
          <w:b/>
          <w:sz w:val="28"/>
        </w:rPr>
        <w:t>Risks</w:t>
      </w:r>
    </w:p>
    <w:p>
      <w:pPr>
        <w:keepNext/>
        <w:keepLines/>
        <w:spacing w:before="200" w:after="100"/>
      </w:pPr>
      <w:r>
        <w:rPr>
          <w:b/>
          <w:sz w:val="24"/>
        </w:rPr>
        <w:t>Network downtime</w:t>
      </w:r>
    </w:p>
    <w:p>
      <w:pPr/>
      <w:r>
        <w:t>Network downtime may delay the first morning.</w:t>
      </w:r>
    </w:p>
    <w:p>
      <w:pPr>
        <w:keepNext/>
        <w:keepLines/>
        <w:spacing w:before="200" w:after="100"/>
      </w:pPr>
      <w:r>
        <w:rPr>
          <w:b/>
          <w:sz w:val="24"/>
        </w:rPr>
        <w:t>Furniture delays</w:t>
      </w:r>
    </w:p>
    <w:p>
      <w:pPr/>
      <w:r>
        <w:t>Furniture delays may leave some desks incomplete.</w:t>
      </w:r>
    </w:p>
    <w:p>
      <w:pPr/>
      <w:r>
        <w:t>Label all additional estimates as your assumptions.</w:t>
      </w:r>
    </w:p>
    <w:sectPr w:rsidR="00FC693F" w:rsidRPr="0006063C" w:rsidSect="00034616">
      <w:footerReference w:type="default" r:id="rId9"/>
      <w:pgSz w:w="12240" w:h="15840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sz w:val="20"/>
      </w:rPr>
    </w:r>
    <w:fldSimple w:instr=" PAGE 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</w:pPr>
    <w:rPr>
      <w:rFonts w:ascii="Arial" w:hAnsi="Arial" w:eastAsia="Arial" w:cs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spacing w:before="0" w:after="40" w:line="252" w:lineRule="auto"/>
      <w:ind w:left="0"/>
      <w:outlineLvl w:val="9"/>
    </w:pPr>
    <w:rPr>
      <w:rFonts w:ascii="Arial" w:hAnsi="Arial" w:eastAsia="Arial" w:cs="Arial"/>
      <w:color w:val="000000"/>
      <w:sz w:val="22"/>
    </w:rPr>
  </w:style>
  <w:style w:type="paragraph" w:customStyle="1" w:styleId="TOC2">
    <w:name w:val="TOC 2"/>
    <w:basedOn w:val="Normal"/>
    <w:pPr>
      <w:spacing w:before="0" w:after="40" w:line="252" w:lineRule="auto"/>
      <w:ind w:left="288"/>
      <w:outlineLvl w:val="9"/>
    </w:pPr>
    <w:rPr>
      <w:rFonts w:ascii="Arial" w:hAnsi="Arial" w:eastAsia="Arial" w:cs="Arial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Office Move Plan</dc:title>
  <dc:subject>Styles and headings practice memo</dc:subject>
  <dc:creator/>
  <cp:keywords>Word, headings, practice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